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keepNext w:val="0"/>
        <w:keepLines w:val="0"/>
        <w:pageBreakBefore w:val="0"/>
        <w:widowControl/>
        <w:kinsoku/>
        <w:wordWrap/>
        <w:overflowPunct/>
        <w:topLinePunct w:val="0"/>
        <w:autoSpaceDE/>
        <w:autoSpaceDN/>
        <w:bidi w:val="0"/>
        <w:adjustRightInd w:val="0"/>
        <w:snapToGrid w:val="0"/>
        <w:spacing w:after="0" w:line="220" w:lineRule="atLeast"/>
        <w:ind w:left="0" w:leftChars="0" w:right="0" w:rightChars="0" w:firstLine="1080" w:firstLineChars="600"/>
        <w:jc w:val="left"/>
        <w:textAlignment w:val="auto"/>
        <w:outlineLvl w:val="9"/>
        <w:rPr>
          <w:rFonts w:hint="eastAsia" w:ascii="黑体" w:hAnsi="黑体" w:eastAsia="黑体"/>
          <w:sz w:val="18"/>
          <w:szCs w:val="18"/>
        </w:rPr>
      </w:pPr>
    </w:p>
    <w:p>
      <w:pPr>
        <w:keepNext w:val="0"/>
        <w:keepLines w:val="0"/>
        <w:pageBreakBefore w:val="0"/>
        <w:widowControl/>
        <w:kinsoku/>
        <w:wordWrap/>
        <w:overflowPunct/>
        <w:topLinePunct w:val="0"/>
        <w:autoSpaceDE/>
        <w:autoSpaceDN/>
        <w:bidi w:val="0"/>
        <w:adjustRightInd w:val="0"/>
        <w:snapToGrid w:val="0"/>
        <w:spacing w:after="200" w:line="240" w:lineRule="auto"/>
        <w:ind w:left="0" w:leftChars="0" w:right="0" w:rightChars="0" w:firstLine="3120" w:firstLineChars="600"/>
        <w:jc w:val="left"/>
        <w:textAlignment w:val="auto"/>
        <w:outlineLvl w:val="9"/>
        <w:rPr>
          <w:rFonts w:hint="eastAsia" w:ascii="黑体" w:hAnsi="黑体" w:eastAsia="黑体"/>
          <w:b/>
          <w:bCs/>
          <w:sz w:val="52"/>
          <w:szCs w:val="52"/>
        </w:rPr>
      </w:pPr>
      <w:r>
        <w:rPr>
          <w:rFonts w:hint="eastAsia" w:ascii="黑体" w:hAnsi="黑体" w:eastAsia="黑体"/>
          <w:b/>
          <w:bCs/>
          <w:sz w:val="52"/>
          <w:szCs w:val="52"/>
        </w:rPr>
        <w:t>民事上诉状</w:t>
      </w:r>
    </w:p>
    <w:p>
      <w:pPr>
        <w:keepNext w:val="0"/>
        <w:keepLines w:val="0"/>
        <w:pageBreakBefore w:val="0"/>
        <w:widowControl/>
        <w:kinsoku/>
        <w:wordWrap/>
        <w:overflowPunct/>
        <w:topLinePunct w:val="0"/>
        <w:autoSpaceDE/>
        <w:autoSpaceDN/>
        <w:bidi w:val="0"/>
        <w:adjustRightInd w:val="0"/>
        <w:snapToGrid w:val="0"/>
        <w:spacing w:after="0" w:line="320" w:lineRule="exact"/>
        <w:ind w:left="0" w:leftChars="0" w:right="0" w:rightChars="0" w:firstLine="1080" w:firstLineChars="600"/>
        <w:jc w:val="left"/>
        <w:textAlignment w:val="auto"/>
        <w:outlineLvl w:val="9"/>
        <w:rPr>
          <w:rFonts w:hint="eastAsia" w:ascii="黑体" w:hAnsi="黑体" w:eastAsia="黑体"/>
          <w:b/>
          <w:bCs/>
          <w:sz w:val="18"/>
          <w:szCs w:val="18"/>
        </w:rPr>
      </w:pP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2" w:firstLineChars="200"/>
        <w:textAlignment w:val="auto"/>
        <w:outlineLvl w:val="9"/>
        <w:rPr>
          <w:rFonts w:hint="eastAsia" w:ascii="仿宋" w:hAnsi="仿宋" w:eastAsia="仿宋"/>
          <w:sz w:val="28"/>
          <w:szCs w:val="28"/>
        </w:rPr>
      </w:pPr>
      <w:r>
        <w:rPr>
          <w:rFonts w:hint="eastAsia" w:ascii="仿宋" w:hAnsi="仿宋" w:eastAsia="仿宋"/>
          <w:b/>
          <w:sz w:val="28"/>
          <w:szCs w:val="28"/>
        </w:rPr>
        <w:t>上诉人（原审被告）</w:t>
      </w:r>
      <w:r>
        <w:rPr>
          <w:rFonts w:hint="eastAsia" w:ascii="仿宋" w:hAnsi="仿宋" w:eastAsia="仿宋"/>
          <w:sz w:val="28"/>
          <w:szCs w:val="28"/>
        </w:rPr>
        <w:t>：中华联合财产保险股份有限公司安徽分公司，住所地安徽省合肥市庐阳区阜南路169号东怡金融广场A座9-10层</w:t>
      </w:r>
      <w:r>
        <w:rPr>
          <w:rFonts w:hint="eastAsia" w:ascii="仿宋" w:hAnsi="仿宋" w:eastAsia="仿宋"/>
          <w:sz w:val="28"/>
          <w:szCs w:val="28"/>
          <w:lang w:eastAsia="zh-CN"/>
        </w:rPr>
        <w:t>。</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sz w:val="28"/>
          <w:szCs w:val="28"/>
        </w:rPr>
      </w:pPr>
      <w:r>
        <w:rPr>
          <w:rFonts w:hint="eastAsia" w:ascii="仿宋" w:hAnsi="仿宋" w:eastAsia="仿宋"/>
          <w:sz w:val="28"/>
          <w:szCs w:val="28"/>
        </w:rPr>
        <w:t xml:space="preserve">       负责人：王绪珍，公司总经理</w:t>
      </w:r>
      <w:r>
        <w:rPr>
          <w:rFonts w:hint="eastAsia" w:ascii="仿宋" w:hAnsi="仿宋" w:eastAsia="仿宋"/>
          <w:sz w:val="28"/>
          <w:szCs w:val="28"/>
          <w:lang w:eastAsia="zh-CN"/>
        </w:rPr>
        <w:t>。</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2" w:firstLineChars="200"/>
        <w:textAlignment w:val="auto"/>
        <w:outlineLvl w:val="9"/>
        <w:rPr>
          <w:rFonts w:hint="eastAsia" w:ascii="仿宋" w:hAnsi="仿宋" w:eastAsia="仿宋"/>
          <w:b/>
          <w:sz w:val="28"/>
          <w:szCs w:val="28"/>
        </w:rPr>
      </w:pP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2" w:firstLineChars="200"/>
        <w:textAlignment w:val="auto"/>
        <w:outlineLvl w:val="9"/>
        <w:rPr>
          <w:rFonts w:hint="eastAsia" w:ascii="仿宋" w:hAnsi="仿宋" w:eastAsia="仿宋"/>
          <w:sz w:val="28"/>
          <w:szCs w:val="28"/>
        </w:rPr>
      </w:pPr>
      <w:r>
        <w:rPr>
          <w:rFonts w:hint="eastAsia" w:ascii="仿宋" w:hAnsi="仿宋" w:eastAsia="仿宋"/>
          <w:b/>
          <w:sz w:val="28"/>
          <w:szCs w:val="28"/>
        </w:rPr>
        <w:t>被上诉人（原审原告）：</w:t>
      </w:r>
      <w:r>
        <w:rPr>
          <w:rFonts w:hint="eastAsia" w:ascii="仿宋" w:hAnsi="仿宋" w:eastAsia="仿宋"/>
          <w:sz w:val="28"/>
          <w:szCs w:val="28"/>
        </w:rPr>
        <w:t>合肥华保货运有限公司，住所地合肥市长江东路漕冲批发市场三期20幢14号</w:t>
      </w:r>
      <w:r>
        <w:rPr>
          <w:rFonts w:hint="eastAsia" w:ascii="仿宋" w:hAnsi="仿宋" w:eastAsia="仿宋"/>
          <w:sz w:val="28"/>
          <w:szCs w:val="28"/>
          <w:lang w:eastAsia="zh-CN"/>
        </w:rPr>
        <w:t>。</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1540" w:firstLineChars="550"/>
        <w:textAlignment w:val="auto"/>
        <w:outlineLvl w:val="9"/>
        <w:rPr>
          <w:rFonts w:hint="eastAsia" w:ascii="仿宋" w:hAnsi="仿宋" w:eastAsia="仿宋"/>
          <w:sz w:val="28"/>
          <w:szCs w:val="28"/>
        </w:rPr>
      </w:pPr>
      <w:r>
        <w:rPr>
          <w:rFonts w:hint="eastAsia" w:ascii="仿宋" w:hAnsi="仿宋" w:eastAsia="仿宋"/>
          <w:sz w:val="28"/>
          <w:szCs w:val="28"/>
        </w:rPr>
        <w:t>法定代理人：刑志华，总经理</w:t>
      </w:r>
      <w:r>
        <w:rPr>
          <w:rFonts w:hint="eastAsia" w:ascii="仿宋" w:hAnsi="仿宋" w:eastAsia="仿宋"/>
          <w:sz w:val="28"/>
          <w:szCs w:val="28"/>
          <w:lang w:eastAsia="zh-CN"/>
        </w:rPr>
        <w:t>。</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textAlignment w:val="auto"/>
        <w:outlineLvl w:val="9"/>
        <w:rPr>
          <w:rFonts w:hint="eastAsia" w:ascii="仿宋" w:hAnsi="仿宋" w:eastAsia="仿宋"/>
          <w:sz w:val="28"/>
          <w:szCs w:val="28"/>
        </w:rPr>
      </w:pP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textAlignment w:val="auto"/>
        <w:outlineLvl w:val="9"/>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上诉人不服合肥市庐阳区法院（2015）庐民二初字第01589号判决书的判决，现提起上诉</w:t>
      </w:r>
      <w:r>
        <w:rPr>
          <w:rFonts w:hint="eastAsia" w:ascii="仿宋" w:hAnsi="仿宋" w:eastAsia="仿宋"/>
          <w:sz w:val="28"/>
          <w:szCs w:val="28"/>
          <w:lang w:eastAsia="zh-CN"/>
        </w:rPr>
        <w:t>。</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jc w:val="center"/>
        <w:textAlignment w:val="auto"/>
        <w:outlineLvl w:val="9"/>
        <w:rPr>
          <w:rFonts w:hint="eastAsia" w:ascii="仿宋" w:hAnsi="仿宋" w:eastAsia="仿宋"/>
          <w:sz w:val="28"/>
          <w:szCs w:val="28"/>
        </w:rPr>
      </w:pPr>
      <w:r>
        <w:rPr>
          <w:rFonts w:hint="eastAsia" w:ascii="仿宋" w:hAnsi="仿宋" w:eastAsia="仿宋"/>
          <w:b/>
          <w:sz w:val="28"/>
          <w:szCs w:val="28"/>
        </w:rPr>
        <w:t>上诉请求</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843" w:firstLineChars="300"/>
        <w:textAlignment w:val="auto"/>
        <w:outlineLvl w:val="9"/>
        <w:rPr>
          <w:rFonts w:hint="eastAsia"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val="en-US" w:eastAsia="zh-CN"/>
        </w:rPr>
        <w:t>请求</w:t>
      </w:r>
      <w:r>
        <w:rPr>
          <w:rFonts w:hint="eastAsia" w:ascii="仿宋" w:hAnsi="仿宋" w:eastAsia="仿宋"/>
          <w:sz w:val="28"/>
          <w:szCs w:val="28"/>
        </w:rPr>
        <w:t>撤销（2015）庐民二初字第01589号判决书，</w:t>
      </w:r>
      <w:r>
        <w:rPr>
          <w:rFonts w:hint="eastAsia" w:ascii="仿宋" w:hAnsi="仿宋" w:eastAsia="仿宋"/>
          <w:sz w:val="28"/>
          <w:szCs w:val="28"/>
          <w:lang w:val="en-US" w:eastAsia="zh-CN"/>
        </w:rPr>
        <w:t>在原审判决上诉人赔偿金额基础上</w:t>
      </w:r>
      <w:r>
        <w:rPr>
          <w:rFonts w:hint="eastAsia" w:ascii="仿宋" w:hAnsi="仿宋" w:eastAsia="仿宋"/>
          <w:sz w:val="28"/>
          <w:szCs w:val="28"/>
          <w:lang w:val="en-US" w:eastAsia="zh-CN"/>
        </w:rPr>
        <w:t>改判</w:t>
      </w:r>
      <w:r>
        <w:rPr>
          <w:rFonts w:hint="eastAsia" w:ascii="仿宋" w:hAnsi="仿宋" w:eastAsia="仿宋"/>
          <w:sz w:val="28"/>
          <w:szCs w:val="28"/>
          <w:lang w:val="en-US" w:eastAsia="zh-CN"/>
        </w:rPr>
        <w:t>减少44535</w:t>
      </w:r>
      <w:r>
        <w:rPr>
          <w:rFonts w:hint="eastAsia" w:ascii="仿宋" w:hAnsi="仿宋" w:eastAsia="仿宋"/>
          <w:sz w:val="28"/>
          <w:szCs w:val="28"/>
        </w:rPr>
        <w:t>元</w:t>
      </w:r>
      <w:r>
        <w:rPr>
          <w:rFonts w:hint="eastAsia" w:ascii="仿宋" w:hAnsi="仿宋" w:eastAsia="仿宋"/>
          <w:sz w:val="28"/>
          <w:szCs w:val="28"/>
          <w:lang w:eastAsia="zh-CN"/>
        </w:rPr>
        <w:t>，</w:t>
      </w:r>
      <w:r>
        <w:rPr>
          <w:rFonts w:hint="eastAsia" w:ascii="仿宋" w:hAnsi="仿宋" w:eastAsia="仿宋"/>
          <w:sz w:val="28"/>
          <w:szCs w:val="28"/>
          <w:lang w:val="en-US" w:eastAsia="zh-CN"/>
        </w:rPr>
        <w:t>或发回重审。</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840" w:firstLineChars="300"/>
        <w:textAlignment w:val="auto"/>
        <w:outlineLvl w:val="9"/>
        <w:rPr>
          <w:rFonts w:hint="eastAsia" w:ascii="仿宋" w:hAnsi="仿宋" w:eastAsia="仿宋"/>
          <w:sz w:val="28"/>
          <w:szCs w:val="28"/>
        </w:rPr>
      </w:pPr>
      <w:r>
        <w:rPr>
          <w:rFonts w:hint="eastAsia" w:ascii="仿宋" w:hAnsi="仿宋" w:eastAsia="仿宋"/>
          <w:sz w:val="28"/>
          <w:szCs w:val="28"/>
        </w:rPr>
        <w:t>2、一、二审诉讼费用由被上诉人承担。</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jc w:val="center"/>
        <w:textAlignment w:val="auto"/>
        <w:outlineLvl w:val="9"/>
        <w:rPr>
          <w:rFonts w:hint="eastAsia" w:ascii="仿宋" w:hAnsi="仿宋" w:eastAsia="仿宋"/>
          <w:b/>
          <w:sz w:val="28"/>
          <w:szCs w:val="28"/>
        </w:rPr>
      </w:pP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jc w:val="center"/>
        <w:textAlignment w:val="auto"/>
        <w:outlineLvl w:val="9"/>
        <w:rPr>
          <w:rFonts w:hint="eastAsia" w:ascii="仿宋" w:hAnsi="仿宋" w:eastAsia="仿宋"/>
          <w:b/>
          <w:sz w:val="28"/>
          <w:szCs w:val="28"/>
        </w:rPr>
      </w:pPr>
      <w:r>
        <w:rPr>
          <w:rFonts w:hint="eastAsia" w:ascii="仿宋" w:hAnsi="仿宋" w:eastAsia="仿宋"/>
          <w:b/>
          <w:sz w:val="28"/>
          <w:szCs w:val="28"/>
        </w:rPr>
        <w:t>事实与理由</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textAlignment w:val="auto"/>
        <w:outlineLvl w:val="9"/>
        <w:rPr>
          <w:rFonts w:hint="eastAsia" w:ascii="仿宋" w:hAnsi="仿宋" w:eastAsia="仿宋"/>
          <w:b/>
          <w:sz w:val="28"/>
          <w:szCs w:val="28"/>
          <w:lang w:val="en-US" w:eastAsia="zh-CN"/>
        </w:rPr>
      </w:pPr>
      <w:r>
        <w:rPr>
          <w:rFonts w:hint="eastAsia" w:ascii="仿宋" w:hAnsi="仿宋" w:eastAsia="仿宋"/>
          <w:b/>
          <w:sz w:val="28"/>
          <w:szCs w:val="28"/>
          <w:lang w:val="en-US" w:eastAsia="zh-CN"/>
        </w:rPr>
        <w:t xml:space="preserve">    二、原审法院仅依维修发票即认定为原告实际支付的维修费用，确为不妥。</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b w:val="0"/>
          <w:bCs/>
          <w:sz w:val="28"/>
          <w:szCs w:val="28"/>
          <w:lang w:val="en-US" w:eastAsia="zh-CN"/>
        </w:rPr>
      </w:pPr>
      <w:r>
        <w:rPr>
          <w:rFonts w:hint="eastAsia" w:ascii="仿宋" w:hAnsi="仿宋" w:eastAsia="仿宋"/>
          <w:b w:val="0"/>
          <w:bCs/>
          <w:sz w:val="28"/>
          <w:szCs w:val="28"/>
          <w:lang w:val="en-US" w:eastAsia="zh-CN"/>
        </w:rPr>
        <w:t>1、仅有维修发票，为孤证，不应单独作为认定事实的依据。社会实践中，发票可以代开，俗称“买发票”，这在修理行业非常普遍，开具的金额非常随意，维修发票并不等同维修款支付凭证，例如收款收据、POS机刷卡小票、转账汇款凭证。</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b w:val="0"/>
          <w:bCs/>
          <w:sz w:val="28"/>
          <w:szCs w:val="28"/>
          <w:lang w:val="en-US" w:eastAsia="zh-CN"/>
        </w:rPr>
      </w:pPr>
      <w:r>
        <w:rPr>
          <w:rFonts w:hint="eastAsia" w:ascii="仿宋" w:hAnsi="仿宋" w:eastAsia="仿宋"/>
          <w:b w:val="0"/>
          <w:bCs/>
          <w:sz w:val="28"/>
          <w:szCs w:val="28"/>
          <w:lang w:val="en-US" w:eastAsia="zh-CN"/>
        </w:rPr>
        <w:t>2、开具发票的单位与实际修理的单位完全可以分离。原告需要同时提供维修发票、维修清单、支付凭证。</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b w:val="0"/>
          <w:bCs/>
          <w:sz w:val="28"/>
          <w:szCs w:val="28"/>
          <w:lang w:val="en-US" w:eastAsia="zh-CN"/>
        </w:rPr>
      </w:pPr>
      <w:r>
        <w:rPr>
          <w:rFonts w:hint="eastAsia" w:ascii="仿宋" w:hAnsi="仿宋" w:eastAsia="仿宋"/>
          <w:b w:val="0"/>
          <w:bCs/>
          <w:sz w:val="28"/>
          <w:szCs w:val="28"/>
          <w:lang w:val="en-US" w:eastAsia="zh-CN"/>
        </w:rPr>
        <w:t>3、原告提供的2014年11月3日的报价单，并非维修清单。报价单中所列项目与事故关联性无法确定，也就是说，仅有报价项目，并不代表其全部内容均为交通事故中造成的损失。同时，更不代表2015年3月21日开具发票实际修理的项目就是该报价单中所列项目。因此，仅凭报价单，达不到原告想要证明的与本案交通事故的关联性以及与维修发票的关联性，此时，维修发票即为孤证。</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2" w:firstLineChars="200"/>
        <w:textAlignment w:val="auto"/>
        <w:outlineLvl w:val="9"/>
        <w:rPr>
          <w:rFonts w:hint="eastAsia" w:ascii="仿宋" w:hAnsi="仿宋" w:eastAsia="仿宋"/>
          <w:b/>
          <w:sz w:val="28"/>
          <w:szCs w:val="28"/>
          <w:lang w:val="en-US" w:eastAsia="zh-CN"/>
        </w:rPr>
      </w:pP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2" w:firstLineChars="200"/>
        <w:textAlignment w:val="auto"/>
        <w:outlineLvl w:val="9"/>
        <w:rPr>
          <w:rFonts w:hint="eastAsia" w:ascii="仿宋" w:hAnsi="仿宋" w:eastAsia="仿宋"/>
          <w:b/>
          <w:sz w:val="28"/>
          <w:szCs w:val="28"/>
        </w:rPr>
      </w:pPr>
      <w:r>
        <w:rPr>
          <w:rFonts w:hint="eastAsia" w:ascii="仿宋" w:hAnsi="仿宋" w:eastAsia="仿宋"/>
          <w:b/>
          <w:sz w:val="28"/>
          <w:szCs w:val="28"/>
          <w:lang w:val="en-US" w:eastAsia="zh-CN"/>
        </w:rPr>
        <w:t>二、原告有义务提供证据证明损害后果与侵权行为之间具有因果关系。</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420" w:firstLineChars="150"/>
        <w:textAlignment w:val="auto"/>
        <w:outlineLvl w:val="9"/>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根据《民事诉讼法》第64条</w:t>
      </w:r>
      <w:r>
        <w:rPr>
          <w:rFonts w:hint="eastAsia" w:ascii="仿宋" w:hAnsi="仿宋" w:eastAsia="仿宋"/>
          <w:sz w:val="28"/>
          <w:szCs w:val="28"/>
          <w:lang w:val="en-US" w:eastAsia="zh-CN"/>
        </w:rPr>
        <w:t>第1款，最高人民法院关于适用《中华人民共和国民事诉讼法》的解释第90条第1、2款，原审原告有义务提供证据证明:1、侵权事实；2、损害后果；3、损害后果与侵权事实之间因果关系。</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420" w:firstLineChars="150"/>
        <w:textAlignment w:val="auto"/>
        <w:outlineLvl w:val="9"/>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本案中，仅有维修发票，即使该厂维修和支付都是真实的，也最多证明损害后果，并不代表该金额和项目均为交通事故造成，该初步的因果关系属原告的举证范围。</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420" w:firstLineChars="150"/>
        <w:textAlignment w:val="auto"/>
        <w:outlineLvl w:val="9"/>
        <w:rPr>
          <w:rFonts w:hint="eastAsia" w:ascii="仿宋" w:hAnsi="仿宋" w:eastAsia="仿宋"/>
          <w:sz w:val="28"/>
          <w:szCs w:val="28"/>
          <w:lang w:val="en-US" w:eastAsia="zh-CN"/>
        </w:rPr>
      </w:pPr>
      <w:r>
        <w:rPr>
          <w:rFonts w:hint="eastAsia" w:ascii="仿宋" w:hAnsi="仿宋" w:eastAsia="仿宋"/>
          <w:sz w:val="28"/>
          <w:szCs w:val="28"/>
          <w:lang w:val="en-US" w:eastAsia="zh-CN"/>
        </w:rPr>
        <w:t>从目前原告举证的证据来看，并不能证明该维修发票所示内容均为交通事故造成的全部损失，该关联性证据缺失。</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2" w:firstLineChars="200"/>
        <w:textAlignment w:val="auto"/>
        <w:outlineLvl w:val="9"/>
        <w:rPr>
          <w:rFonts w:hint="eastAsia" w:ascii="仿宋" w:hAnsi="仿宋" w:eastAsia="仿宋"/>
          <w:b/>
          <w:sz w:val="28"/>
          <w:szCs w:val="28"/>
        </w:rPr>
      </w:pP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textAlignment w:val="auto"/>
        <w:outlineLvl w:val="9"/>
        <w:rPr>
          <w:rFonts w:hint="eastAsia" w:ascii="仿宋" w:hAnsi="仿宋" w:eastAsia="仿宋"/>
          <w:b/>
          <w:sz w:val="28"/>
          <w:szCs w:val="28"/>
        </w:rPr>
      </w:pPr>
      <w:r>
        <w:rPr>
          <w:rFonts w:hint="eastAsia" w:ascii="仿宋" w:hAnsi="仿宋" w:eastAsia="仿宋"/>
          <w:b/>
          <w:sz w:val="28"/>
          <w:szCs w:val="28"/>
          <w:lang w:val="en-US" w:eastAsia="zh-CN"/>
        </w:rPr>
        <w:t xml:space="preserve">    三</w:t>
      </w:r>
      <w:r>
        <w:rPr>
          <w:rFonts w:hint="eastAsia" w:ascii="仿宋" w:hAnsi="仿宋" w:eastAsia="仿宋"/>
          <w:b/>
          <w:sz w:val="28"/>
          <w:szCs w:val="28"/>
          <w:lang w:eastAsia="zh-CN"/>
        </w:rPr>
        <w:t>、</w:t>
      </w:r>
      <w:r>
        <w:rPr>
          <w:rFonts w:hint="eastAsia" w:ascii="仿宋" w:hAnsi="仿宋" w:eastAsia="仿宋"/>
          <w:b/>
          <w:sz w:val="28"/>
          <w:szCs w:val="28"/>
          <w:lang w:val="en-US" w:eastAsia="zh-CN"/>
        </w:rPr>
        <w:t>根据商业保险合同约定，被保险人修理前需通知保险公司，否则保险人有权重新核定，无法核定的，有权拒绝赔偿。</w:t>
      </w:r>
      <w:r>
        <w:rPr>
          <w:rFonts w:hint="eastAsia" w:ascii="仿宋" w:hAnsi="仿宋" w:eastAsia="仿宋"/>
          <w:b/>
          <w:bCs/>
          <w:sz w:val="28"/>
          <w:szCs w:val="28"/>
          <w:lang w:val="en-US" w:eastAsia="zh-CN"/>
        </w:rPr>
        <w:t>现维修金额远超实际价值，无实际维修必要，保险人对该车是否实际维修真实性持否定态度，且对如此修复更有理由重申被保险人的通知义务。</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420" w:firstLineChars="150"/>
        <w:textAlignment w:val="auto"/>
        <w:outlineLvl w:val="9"/>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根据</w:t>
      </w:r>
      <w:r>
        <w:rPr>
          <w:rFonts w:hint="eastAsia" w:ascii="仿宋" w:hAnsi="仿宋" w:eastAsia="仿宋"/>
          <w:sz w:val="28"/>
          <w:szCs w:val="28"/>
          <w:lang w:val="en-US" w:eastAsia="zh-CN"/>
        </w:rPr>
        <w:t>双方</w:t>
      </w:r>
      <w:r>
        <w:rPr>
          <w:rFonts w:hint="eastAsia" w:ascii="仿宋" w:hAnsi="仿宋" w:eastAsia="仿宋"/>
          <w:sz w:val="28"/>
          <w:szCs w:val="28"/>
        </w:rPr>
        <w:t>签署的营业用汽车损失条款第24条的约定：“因保险事故损害的被保险机动车，应当尽量修复。修理前被保险人应当会同保险人检验、协商确定维修项目、方式和费用。否则，保险人有权重新核定，无法核定的，保险人有权拒绝赔偿。”。</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sz w:val="28"/>
          <w:szCs w:val="28"/>
        </w:rPr>
      </w:pPr>
      <w:r>
        <w:rPr>
          <w:rFonts w:hint="eastAsia" w:ascii="仿宋" w:hAnsi="仿宋" w:eastAsia="仿宋"/>
          <w:b/>
          <w:sz w:val="28"/>
          <w:szCs w:val="28"/>
          <w:lang w:val="en-US" w:eastAsia="zh-CN"/>
        </w:rPr>
        <w:t>2、</w:t>
      </w:r>
      <w:r>
        <w:rPr>
          <w:rFonts w:hint="eastAsia" w:ascii="仿宋" w:hAnsi="仿宋" w:eastAsia="仿宋"/>
          <w:sz w:val="28"/>
          <w:szCs w:val="28"/>
        </w:rPr>
        <w:t>营业用汽车损失条款第10条、第27条的相关规定，事故车辆发生部分损失时，按核定修理费用计算赔偿，但不得超过保险事故发生时被保险机动车的实际价值。该事故车辆2009年8月份购买时购置价为187000元，到事故发生时2014年10月，共使用62个月，按照双方约定的千分之十一的月折旧率，事故发生时事故车辆的市场实际价值为61523元。</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2" w:firstLineChars="200"/>
        <w:textAlignment w:val="auto"/>
        <w:outlineLvl w:val="9"/>
        <w:rPr>
          <w:rFonts w:hint="eastAsia" w:ascii="仿宋" w:hAnsi="仿宋" w:eastAsia="仿宋"/>
          <w:b/>
          <w:sz w:val="28"/>
          <w:szCs w:val="28"/>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textAlignment w:val="auto"/>
        <w:outlineLvl w:val="9"/>
        <w:rPr>
          <w:rFonts w:hint="eastAsia" w:ascii="仿宋" w:hAnsi="仿宋" w:eastAsia="仿宋"/>
          <w:b/>
          <w:sz w:val="28"/>
          <w:szCs w:val="28"/>
          <w:lang w:val="en-US" w:eastAsia="zh-CN"/>
        </w:rPr>
      </w:pPr>
      <w:r>
        <w:rPr>
          <w:rFonts w:hint="eastAsia" w:ascii="仿宋" w:hAnsi="仿宋" w:eastAsia="仿宋"/>
          <w:b/>
          <w:sz w:val="28"/>
          <w:szCs w:val="28"/>
          <w:lang w:val="en-US" w:eastAsia="zh-CN"/>
        </w:rPr>
        <w:t xml:space="preserve">    四、施救费项目认定不当。</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b w:val="0"/>
          <w:bCs/>
          <w:sz w:val="28"/>
          <w:szCs w:val="28"/>
          <w:lang w:val="en-US" w:eastAsia="zh-CN"/>
        </w:rPr>
      </w:pPr>
      <w:r>
        <w:rPr>
          <w:rFonts w:hint="eastAsia" w:ascii="仿宋" w:hAnsi="仿宋" w:eastAsia="仿宋"/>
          <w:b w:val="0"/>
          <w:bCs/>
          <w:sz w:val="28"/>
          <w:szCs w:val="28"/>
          <w:lang w:val="en-US" w:eastAsia="zh-CN"/>
        </w:rPr>
        <w:t>1、施救费中施救本方车辆属三者车交强险及第三者责任险以及本车车辆损失险赔偿范围，施救三者车辆属交强险及商业第三者险赔偿项目。</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b w:val="0"/>
          <w:bCs/>
          <w:sz w:val="28"/>
          <w:szCs w:val="28"/>
          <w:lang w:val="en-US" w:eastAsia="zh-CN"/>
        </w:rPr>
      </w:pPr>
      <w:r>
        <w:rPr>
          <w:rFonts w:hint="eastAsia" w:ascii="仿宋" w:hAnsi="仿宋" w:eastAsia="仿宋"/>
          <w:b w:val="0"/>
          <w:bCs/>
          <w:sz w:val="28"/>
          <w:szCs w:val="28"/>
          <w:lang w:val="en-US" w:eastAsia="zh-CN"/>
        </w:rPr>
        <w:t>2、施救费分为车体部分施救和货物部分施救，货物部分施救不属于本车车辆损失险赔偿范围，仅属于三者车辆交强险及商业第三者责任险赔偿范围。</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b w:val="0"/>
          <w:bCs/>
          <w:sz w:val="28"/>
          <w:szCs w:val="28"/>
          <w:lang w:val="en-US" w:eastAsia="zh-CN"/>
        </w:rPr>
      </w:pPr>
      <w:r>
        <w:rPr>
          <w:rFonts w:hint="eastAsia" w:ascii="仿宋" w:hAnsi="仿宋" w:eastAsia="仿宋"/>
          <w:b w:val="0"/>
          <w:bCs/>
          <w:sz w:val="28"/>
          <w:szCs w:val="28"/>
          <w:lang w:val="en-US" w:eastAsia="zh-CN"/>
        </w:rPr>
        <w:t>3、施救费为事故现场的施救费用，并不包括从河北省事故现场托运回合肥的施救费用，车辆修理并非高技术含量技术活动，从合理减少损失出发完全可以就地修理，车主自行扩大的托运费不属于合理的施救费用范围。</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b w:val="0"/>
          <w:bCs/>
          <w:sz w:val="28"/>
          <w:szCs w:val="28"/>
          <w:lang w:val="en-US" w:eastAsia="zh-CN"/>
        </w:rPr>
      </w:pPr>
      <w:r>
        <w:rPr>
          <w:rFonts w:hint="eastAsia" w:ascii="仿宋" w:hAnsi="仿宋" w:eastAsia="仿宋"/>
          <w:b w:val="0"/>
          <w:bCs/>
          <w:sz w:val="28"/>
          <w:szCs w:val="28"/>
          <w:lang w:val="en-US" w:eastAsia="zh-CN"/>
        </w:rPr>
        <w:t>因此，原审在施救费项目上并未做有效、清楚的查明事实。</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b/>
          <w:sz w:val="28"/>
          <w:szCs w:val="28"/>
          <w:lang w:val="en-US"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right="0" w:rightChars="0" w:firstLine="560" w:firstLineChars="200"/>
        <w:textAlignment w:val="auto"/>
        <w:outlineLvl w:val="9"/>
        <w:rPr>
          <w:rFonts w:hint="eastAsia" w:ascii="仿宋" w:hAnsi="仿宋" w:eastAsia="仿宋"/>
          <w:b/>
          <w:sz w:val="28"/>
          <w:szCs w:val="28"/>
        </w:rPr>
      </w:pPr>
      <w:r>
        <w:rPr>
          <w:rFonts w:hint="eastAsia" w:ascii="仿宋" w:hAnsi="仿宋" w:eastAsia="仿宋"/>
          <w:b/>
          <w:sz w:val="28"/>
          <w:szCs w:val="28"/>
          <w:lang w:val="en-US" w:eastAsia="zh-CN"/>
        </w:rPr>
        <w:t>五、原审判决交强险赔偿2000元不当，对该赔偿上诉人不能理解。退一步说，若上诉人赔偿2000元，则何为未扣除对方车辆即三者车辆的交强险财产损失限额赔偿2000元。</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textAlignment w:val="auto"/>
        <w:outlineLvl w:val="9"/>
        <w:rPr>
          <w:rFonts w:hint="eastAsia" w:ascii="仿宋" w:hAnsi="仿宋" w:eastAsia="仿宋"/>
          <w:b/>
          <w:sz w:val="28"/>
          <w:szCs w:val="28"/>
          <w:lang w:val="en-US" w:eastAsia="zh-CN"/>
        </w:rPr>
      </w:pPr>
      <w:r>
        <w:rPr>
          <w:rFonts w:hint="eastAsia" w:ascii="仿宋" w:hAnsi="仿宋" w:eastAsia="仿宋"/>
          <w:b/>
          <w:sz w:val="28"/>
          <w:szCs w:val="28"/>
          <w:lang w:val="en-US" w:eastAsia="zh-CN"/>
        </w:rPr>
        <w:t xml:space="preserve">    </w:t>
      </w:r>
      <w:bookmarkStart w:id="0" w:name="_GoBack"/>
      <w:bookmarkEnd w:id="0"/>
      <w:r>
        <w:rPr>
          <w:rFonts w:hint="eastAsia" w:ascii="仿宋" w:hAnsi="仿宋" w:eastAsia="仿宋"/>
          <w:b/>
          <w:sz w:val="28"/>
          <w:szCs w:val="28"/>
        </w:rPr>
        <w:t>综上，</w:t>
      </w:r>
      <w:r>
        <w:rPr>
          <w:rFonts w:hint="eastAsia" w:ascii="仿宋" w:hAnsi="仿宋" w:eastAsia="仿宋"/>
          <w:b/>
          <w:sz w:val="28"/>
          <w:szCs w:val="28"/>
          <w:lang w:val="en-US" w:eastAsia="zh-CN"/>
        </w:rPr>
        <w:t>请求二审法院依法改判。</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firstLine="562" w:firstLineChars="200"/>
        <w:textAlignment w:val="auto"/>
        <w:outlineLvl w:val="9"/>
        <w:rPr>
          <w:rFonts w:hint="eastAsia" w:ascii="仿宋" w:hAnsi="仿宋" w:eastAsia="仿宋"/>
          <w:b/>
          <w:sz w:val="28"/>
          <w:szCs w:val="28"/>
          <w:lang w:val="en-US" w:eastAsia="zh-CN"/>
        </w:rPr>
      </w:pPr>
      <w:r>
        <w:rPr>
          <w:rFonts w:hint="eastAsia" w:ascii="仿宋" w:hAnsi="仿宋" w:eastAsia="仿宋"/>
          <w:b/>
          <w:sz w:val="28"/>
          <w:szCs w:val="28"/>
          <w:lang w:val="en-US" w:eastAsia="zh-CN"/>
        </w:rPr>
        <w:t>此致</w:t>
      </w:r>
    </w:p>
    <w:p>
      <w:pPr>
        <w:keepNext w:val="0"/>
        <w:keepLines w:val="0"/>
        <w:pageBreakBefore w:val="0"/>
        <w:widowControl/>
        <w:kinsoku/>
        <w:wordWrap/>
        <w:overflowPunct/>
        <w:topLinePunct w:val="0"/>
        <w:autoSpaceDE/>
        <w:autoSpaceDN/>
        <w:bidi w:val="0"/>
        <w:adjustRightInd w:val="0"/>
        <w:snapToGrid w:val="0"/>
        <w:spacing w:after="0" w:line="320" w:lineRule="exact"/>
        <w:ind w:right="0" w:rightChars="0"/>
        <w:textAlignment w:val="auto"/>
        <w:outlineLvl w:val="9"/>
        <w:rPr>
          <w:rFonts w:hint="eastAsia" w:ascii="仿宋" w:hAnsi="仿宋" w:eastAsia="仿宋"/>
          <w:b/>
          <w:sz w:val="28"/>
          <w:szCs w:val="28"/>
        </w:rPr>
      </w:pPr>
      <w:r>
        <w:rPr>
          <w:rFonts w:hint="eastAsia" w:ascii="仿宋" w:hAnsi="仿宋" w:eastAsia="仿宋"/>
          <w:b/>
          <w:sz w:val="28"/>
          <w:szCs w:val="28"/>
        </w:rPr>
        <w:t>合肥市中级人民法院</w:t>
      </w:r>
    </w:p>
    <w:p>
      <w:pPr>
        <w:keepNext w:val="0"/>
        <w:keepLines w:val="0"/>
        <w:pageBreakBefore w:val="0"/>
        <w:widowControl/>
        <w:kinsoku/>
        <w:wordWrap/>
        <w:overflowPunct/>
        <w:topLinePunct w:val="0"/>
        <w:autoSpaceDE/>
        <w:autoSpaceDN/>
        <w:bidi w:val="0"/>
        <w:adjustRightInd w:val="0"/>
        <w:snapToGrid w:val="0"/>
        <w:spacing w:after="0" w:line="320" w:lineRule="exact"/>
        <w:ind w:left="5762" w:right="0" w:rightChars="0" w:hanging="5762" w:hangingChars="2050"/>
        <w:textAlignment w:val="auto"/>
        <w:outlineLvl w:val="9"/>
        <w:rPr>
          <w:rFonts w:hint="eastAsia" w:ascii="仿宋" w:hAnsi="仿宋" w:eastAsia="仿宋"/>
          <w:b/>
          <w:sz w:val="28"/>
          <w:szCs w:val="28"/>
        </w:rPr>
      </w:pPr>
      <w:r>
        <w:rPr>
          <w:rFonts w:hint="eastAsia" w:ascii="仿宋" w:hAnsi="仿宋" w:eastAsia="仿宋"/>
          <w:b/>
          <w:sz w:val="28"/>
          <w:szCs w:val="28"/>
        </w:rPr>
        <w:t xml:space="preserve">             上诉人：中华联合财产保险股份有限公司安徽分公司</w:t>
      </w:r>
    </w:p>
    <w:p>
      <w:pPr>
        <w:keepNext w:val="0"/>
        <w:keepLines w:val="0"/>
        <w:pageBreakBefore w:val="0"/>
        <w:widowControl/>
        <w:kinsoku/>
        <w:wordWrap/>
        <w:overflowPunct/>
        <w:topLinePunct w:val="0"/>
        <w:autoSpaceDE/>
        <w:autoSpaceDN/>
        <w:bidi w:val="0"/>
        <w:adjustRightInd w:val="0"/>
        <w:snapToGrid w:val="0"/>
        <w:spacing w:after="0" w:line="320" w:lineRule="exact"/>
        <w:ind w:left="5762" w:right="0" w:rightChars="0" w:hanging="5762" w:hangingChars="2050"/>
        <w:textAlignment w:val="auto"/>
        <w:outlineLvl w:val="9"/>
        <w:rPr>
          <w:rFonts w:ascii="仿宋" w:hAnsi="仿宋" w:eastAsia="仿宋"/>
          <w:sz w:val="28"/>
          <w:szCs w:val="28"/>
        </w:rPr>
      </w:pPr>
      <w:r>
        <w:rPr>
          <w:rFonts w:hint="eastAsia" w:ascii="仿宋" w:hAnsi="仿宋" w:eastAsia="仿宋"/>
          <w:b/>
          <w:sz w:val="28"/>
          <w:szCs w:val="28"/>
        </w:rPr>
        <w:t xml:space="preserve">                              2015年11月2</w:t>
      </w:r>
      <w:r>
        <w:rPr>
          <w:rFonts w:hint="eastAsia" w:ascii="仿宋" w:hAnsi="仿宋" w:eastAsia="仿宋"/>
          <w:b/>
          <w:sz w:val="28"/>
          <w:szCs w:val="28"/>
          <w:lang w:val="en-US" w:eastAsia="zh-CN"/>
        </w:rPr>
        <w:t>7</w:t>
      </w:r>
      <w:r>
        <w:rPr>
          <w:rFonts w:hint="eastAsia" w:ascii="仿宋" w:hAnsi="仿宋" w:eastAsia="仿宋"/>
          <w:b/>
          <w:sz w:val="28"/>
          <w:szCs w:val="28"/>
        </w:rPr>
        <w:t>日</w:t>
      </w:r>
    </w:p>
    <w:sectPr>
      <w:headerReference r:id="rId3" w:type="default"/>
      <w:footerReference r:id="rId4" w:type="default"/>
      <w:pgSz w:w="11906" w:h="16838"/>
      <w:pgMar w:top="1440" w:right="1800" w:bottom="1440" w:left="1800" w:header="708" w:footer="708" w:gutter="0"/>
      <w:pgNumType w:fmt="decimal"/>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A0000287" w:usb1="28C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decorative"/>
    <w:pitch w:val="default"/>
    <w:sig w:usb0="A0000287" w:usb1="28CF3C52" w:usb2="00000016" w:usb3="00000000" w:csb0="0004001F" w:csb1="00000000"/>
  </w:font>
  <w:font w:name="Tahoma">
    <w:panose1 w:val="020B0604030504040204"/>
    <w:charset w:val="00"/>
    <w:family w:val="decorative"/>
    <w:pitch w:val="default"/>
    <w:sig w:usb0="E1002EFF" w:usb1="C000605B" w:usb2="00000029" w:usb3="00000000" w:csb0="200101FF" w:csb1="20280000"/>
  </w:font>
  <w:font w:name="仿宋">
    <w:panose1 w:val="02010609060101010101"/>
    <w:charset w:val="86"/>
    <w:family w:val="swiss"/>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微软雅黑">
    <w:panose1 w:val="020B0503020204020204"/>
    <w:charset w:val="86"/>
    <w:family w:val="roman"/>
    <w:pitch w:val="default"/>
    <w:sig w:usb0="A0000287" w:usb1="28CF3C52" w:usb2="00000016" w:usb3="00000000" w:csb0="0004001F" w:csb1="00000000"/>
  </w:font>
  <w:font w:name="Tahoma">
    <w:panose1 w:val="020B0604030504040204"/>
    <w:charset w:val="00"/>
    <w:family w:val="roman"/>
    <w:pitch w:val="default"/>
    <w:sig w:usb0="E1002EFF" w:usb1="C000605B" w:usb2="00000029" w:usb3="00000000" w:csb0="200101FF" w:csb1="2028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微软雅黑">
    <w:panose1 w:val="020B0503020204020204"/>
    <w:charset w:val="86"/>
    <w:family w:val="modern"/>
    <w:pitch w:val="default"/>
    <w:sig w:usb0="A0000287" w:usb1="28CF3C52" w:usb2="00000016" w:usb3="00000000" w:csb0="0004001F" w:csb1="00000000"/>
  </w:font>
  <w:font w:name="Tahoma">
    <w:panose1 w:val="020B0604030504040204"/>
    <w:charset w:val="00"/>
    <w:family w:val="modern"/>
    <w:pitch w:val="default"/>
    <w:sig w:usb0="E1002EFF" w:usb1="C000605B" w:usb2="00000029" w:usb3="00000000" w:csb0="200101FF" w:csb1="20280000"/>
  </w:font>
  <w:font w:name="仿宋">
    <w:panose1 w:val="02010609060101010101"/>
    <w:charset w:val="86"/>
    <w:family w:val="roman"/>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微软雅黑"/>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compat>
    <w:doNotExpandShiftReturn/>
    <w:doNotBreakWrappedTables/>
    <w:doNotWrapTextWithPunct/>
    <w:doNotUseEastAsianBreakRules/>
    <w:useFELayout/>
    <w:doNotUseIndentAsNumberingTabStop/>
    <w:useAltKinsokuLineBreakRules/>
    <w:compatSetting w:name="compatibilityMode" w:uri="http://schemas.microsoft.com/office/word" w:val="12"/>
  </w:compat>
  <w:rsids>
    <w:rsidRoot w:val="00D31D50"/>
    <w:rsid w:val="0005498F"/>
    <w:rsid w:val="00323B43"/>
    <w:rsid w:val="003D37D8"/>
    <w:rsid w:val="00426133"/>
    <w:rsid w:val="004358AB"/>
    <w:rsid w:val="004D67F9"/>
    <w:rsid w:val="00782670"/>
    <w:rsid w:val="00861757"/>
    <w:rsid w:val="008B7726"/>
    <w:rsid w:val="00946C06"/>
    <w:rsid w:val="00A55F0E"/>
    <w:rsid w:val="00AB75D8"/>
    <w:rsid w:val="00BC5BA1"/>
    <w:rsid w:val="00D31D50"/>
    <w:rsid w:val="00FB0B55"/>
    <w:rsid w:val="06BB7496"/>
    <w:rsid w:val="11C04DEA"/>
    <w:rsid w:val="50244588"/>
    <w:rsid w:val="5B7B2BDF"/>
    <w:rsid w:val="6D906026"/>
    <w:rsid w:val="73A71124"/>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99" w:semiHidden="0"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Salutation"/>
    <w:basedOn w:val="1"/>
    <w:next w:val="1"/>
    <w:link w:val="10"/>
    <w:unhideWhenUsed/>
    <w:qFormat/>
    <w:uiPriority w:val="99"/>
    <w:rPr>
      <w:rFonts w:ascii="仿宋" w:hAnsi="仿宋" w:eastAsia="仿宋"/>
      <w:b/>
      <w:sz w:val="28"/>
      <w:szCs w:val="28"/>
    </w:rPr>
  </w:style>
  <w:style w:type="paragraph" w:styleId="3">
    <w:name w:val="Closing"/>
    <w:basedOn w:val="1"/>
    <w:link w:val="11"/>
    <w:unhideWhenUsed/>
    <w:qFormat/>
    <w:uiPriority w:val="99"/>
    <w:pPr>
      <w:ind w:left="100" w:leftChars="2100"/>
    </w:pPr>
    <w:rPr>
      <w:rFonts w:ascii="仿宋" w:hAnsi="仿宋" w:eastAsia="仿宋"/>
      <w:b/>
      <w:sz w:val="28"/>
      <w:szCs w:val="28"/>
    </w:rPr>
  </w:style>
  <w:style w:type="paragraph" w:styleId="4">
    <w:name w:val="footer"/>
    <w:basedOn w:val="1"/>
    <w:unhideWhenUsed/>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FollowedHyperlink"/>
    <w:basedOn w:val="6"/>
    <w:unhideWhenUsed/>
    <w:uiPriority w:val="99"/>
    <w:rPr>
      <w:color w:val="464445"/>
      <w:u w:val="none"/>
    </w:rPr>
  </w:style>
  <w:style w:type="character" w:styleId="8">
    <w:name w:val="Hyperlink"/>
    <w:basedOn w:val="6"/>
    <w:unhideWhenUsed/>
    <w:uiPriority w:val="99"/>
    <w:rPr>
      <w:color w:val="464445"/>
      <w:u w:val="none"/>
    </w:rPr>
  </w:style>
  <w:style w:type="character" w:customStyle="1" w:styleId="10">
    <w:name w:val="称呼 Char"/>
    <w:basedOn w:val="6"/>
    <w:link w:val="2"/>
    <w:qFormat/>
    <w:uiPriority w:val="99"/>
    <w:rPr>
      <w:rFonts w:ascii="仿宋" w:hAnsi="仿宋" w:eastAsia="仿宋"/>
      <w:b/>
      <w:sz w:val="28"/>
      <w:szCs w:val="28"/>
    </w:rPr>
  </w:style>
  <w:style w:type="character" w:customStyle="1" w:styleId="11">
    <w:name w:val="结束语 Char"/>
    <w:basedOn w:val="6"/>
    <w:link w:val="3"/>
    <w:qFormat/>
    <w:uiPriority w:val="99"/>
    <w:rPr>
      <w:rFonts w:ascii="仿宋" w:hAnsi="仿宋" w:eastAsia="仿宋"/>
      <w:b/>
      <w:sz w:val="28"/>
      <w:szCs w:val="28"/>
    </w:rPr>
  </w:style>
  <w:style w:type="character" w:customStyle="1" w:styleId="12">
    <w:name w:val="spanright_long"/>
    <w:basedOn w:val="6"/>
    <w:uiPriority w:val="0"/>
    <w:rPr>
      <w:color w:val="666666"/>
      <w:sz w:val="18"/>
      <w:szCs w:val="18"/>
    </w:rPr>
  </w:style>
  <w:style w:type="character" w:customStyle="1" w:styleId="13">
    <w:name w:val="spanright_mid"/>
    <w:basedOn w:val="6"/>
    <w:uiPriority w:val="0"/>
    <w:rPr>
      <w:color w:val="666666"/>
      <w:sz w:val="18"/>
      <w:szCs w:val="18"/>
    </w:rPr>
  </w:style>
  <w:style w:type="character" w:customStyle="1" w:styleId="14">
    <w:name w:val="sk_subnav_title"/>
    <w:basedOn w:val="6"/>
    <w:uiPriority w:val="0"/>
  </w:style>
  <w:style w:type="character" w:customStyle="1" w:styleId="15">
    <w:name w:val="spanright"/>
    <w:basedOn w:val="6"/>
    <w:qFormat/>
    <w:uiPriority w:val="0"/>
  </w:style>
  <w:style w:type="character" w:customStyle="1" w:styleId="16">
    <w:name w:val="spanright1"/>
    <w:basedOn w:val="6"/>
    <w:uiPriority w:val="0"/>
  </w:style>
  <w:style w:type="character" w:customStyle="1" w:styleId="17">
    <w:name w:val="spanright2"/>
    <w:basedOn w:val="6"/>
    <w:uiPriority w:val="0"/>
    <w:rPr>
      <w:color w:val="666666"/>
      <w:sz w:val="18"/>
      <w:szCs w:val="18"/>
    </w:rPr>
  </w:style>
  <w:style w:type="character" w:customStyle="1" w:styleId="18">
    <w:name w:val="spanright3"/>
    <w:basedOn w:val="6"/>
    <w:uiPriority w:val="0"/>
    <w:rPr>
      <w:color w:val="666666"/>
      <w:sz w:val="18"/>
      <w:szCs w:val="18"/>
    </w:rPr>
  </w:style>
  <w:style w:type="character" w:customStyle="1" w:styleId="19">
    <w:name w:val="spanright_80"/>
    <w:basedOn w:val="6"/>
    <w:uiPriority w:val="0"/>
    <w:rPr>
      <w:color w:val="666666"/>
      <w:sz w:val="18"/>
      <w:szCs w:val="18"/>
    </w:rPr>
  </w:style>
  <w:style w:type="character" w:customStyle="1" w:styleId="20">
    <w:name w:val="spantitle6"/>
    <w:basedOn w:val="6"/>
    <w:uiPriority w:val="0"/>
    <w:rPr>
      <w:b/>
      <w:color w:val="FFFFFF"/>
    </w:rPr>
  </w:style>
  <w:style w:type="character" w:customStyle="1" w:styleId="21">
    <w:name w:val="spantitle7"/>
    <w:basedOn w:val="6"/>
    <w:uiPriority w:val="0"/>
    <w:rPr>
      <w:b/>
      <w:color w:val="000000"/>
      <w:sz w:val="21"/>
      <w:szCs w:val="21"/>
    </w:rPr>
  </w:style>
  <w:style w:type="character" w:customStyle="1" w:styleId="22">
    <w:name w:val="spantitle8"/>
    <w:basedOn w:val="6"/>
    <w:uiPriority w:val="0"/>
    <w:rPr>
      <w:b/>
      <w:color w:val="000000"/>
      <w:sz w:val="21"/>
      <w:szCs w:val="21"/>
    </w:rPr>
  </w:style>
  <w:style w:type="character" w:customStyle="1" w:styleId="23">
    <w:name w:val="spantitle9"/>
    <w:basedOn w:val="6"/>
    <w:uiPriority w:val="0"/>
    <w:rPr>
      <w:b/>
      <w:color w:val="000000"/>
      <w:sz w:val="21"/>
      <w:szCs w:val="21"/>
    </w:rPr>
  </w:style>
  <w:style w:type="character" w:customStyle="1" w:styleId="24">
    <w:name w:val="spanmore3"/>
    <w:basedOn w:val="6"/>
    <w:uiPriority w:val="0"/>
  </w:style>
  <w:style w:type="character" w:customStyle="1" w:styleId="25">
    <w:name w:val="spanmore4"/>
    <w:basedOn w:val="6"/>
    <w:uiPriority w:val="0"/>
  </w:style>
  <w:style w:type="character" w:customStyle="1" w:styleId="26">
    <w:name w:val="spanmore5"/>
    <w:basedOn w:val="6"/>
    <w:uiPriority w:val="0"/>
  </w:style>
  <w:style w:type="character" w:customStyle="1" w:styleId="27">
    <w:name w:val="spanmore6"/>
    <w:basedOn w:val="6"/>
    <w:uiPriority w:val="0"/>
  </w:style>
  <w:style w:type="character" w:customStyle="1" w:styleId="28">
    <w:name w:val="spanleft"/>
    <w:basedOn w:val="6"/>
    <w:uiPriority w:val="0"/>
  </w:style>
  <w:style w:type="character" w:customStyle="1" w:styleId="29">
    <w:name w:val="spanleft1"/>
    <w:basedOn w:val="6"/>
    <w:uiPriority w:val="0"/>
  </w:style>
  <w:style w:type="character" w:customStyle="1" w:styleId="30">
    <w:name w:val="spanright_shorter"/>
    <w:basedOn w:val="6"/>
    <w:uiPriority w:val="0"/>
    <w:rPr>
      <w:color w:val="666666"/>
      <w:sz w:val="18"/>
      <w:szCs w:val="18"/>
    </w:rPr>
  </w:style>
  <w:style w:type="character" w:customStyle="1" w:styleId="31">
    <w:name w:val="spanright_short"/>
    <w:basedOn w:val="6"/>
    <w:uiPriority w:val="0"/>
    <w:rPr>
      <w:color w:val="666666"/>
      <w:sz w:val="18"/>
      <w:szCs w:val="18"/>
    </w:rPr>
  </w:style>
  <w:style w:type="character" w:customStyle="1" w:styleId="32">
    <w:name w:val="spanred"/>
    <w:basedOn w:val="6"/>
    <w:uiPriority w:val="0"/>
    <w:rPr>
      <w:color w:val="E30000"/>
    </w:rPr>
  </w:style>
  <w:style w:type="character" w:customStyle="1" w:styleId="33">
    <w:name w:val="spanitalic"/>
    <w:basedOn w:val="6"/>
    <w:qFormat/>
    <w:uiPriority w:val="0"/>
    <w:rPr>
      <w:color w:val="666666"/>
      <w:sz w:val="18"/>
      <w:szCs w:val="18"/>
    </w:rPr>
  </w:style>
  <w:style w:type="character" w:customStyle="1" w:styleId="34">
    <w:name w:val="spanright_69"/>
    <w:basedOn w:val="6"/>
    <w:uiPriority w:val="0"/>
    <w:rPr>
      <w:color w:val="666666"/>
      <w:sz w:val="18"/>
      <w:szCs w:val="18"/>
    </w:rPr>
  </w:style>
  <w:style w:type="character" w:customStyle="1" w:styleId="35">
    <w:name w:val="span_left28"/>
    <w:basedOn w:val="6"/>
    <w:uiPriority w:val="0"/>
    <w:rPr>
      <w:color w:val="666666"/>
      <w:sz w:val="18"/>
      <w:szCs w:val="18"/>
    </w:rPr>
  </w:style>
  <w:style w:type="character" w:customStyle="1" w:styleId="36">
    <w:name w:val="span_left"/>
    <w:basedOn w:val="6"/>
    <w:uiPriority w:val="0"/>
    <w:rPr>
      <w:color w:val="666666"/>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224</Words>
  <Characters>1283</Characters>
  <Lines>10</Lines>
  <Paragraphs>3</Paragraphs>
  <ScaleCrop>false</ScaleCrop>
  <LinksUpToDate>false</LinksUpToDate>
  <CharactersWithSpaces>1504</CharactersWithSpaces>
  <Application>WPS Office_10.1.0.5346_F1E327BC-269C-435d-A152-05C5408002CA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lenovo</cp:lastModifiedBy>
  <cp:lastPrinted>2015-11-27T07:58:00Z</cp:lastPrinted>
  <dcterms:modified xsi:type="dcterms:W3CDTF">2015-11-27T08:14:00Z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